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5136D925" w14:textId="77777777" w:rsidR="004F56FE" w:rsidRDefault="004F56FE" w:rsidP="00057174">
      <w:pPr>
        <w:jc w:val="center"/>
        <w:rPr>
          <w:b/>
          <w:bCs/>
          <w:sz w:val="52"/>
          <w:szCs w:val="52"/>
        </w:rPr>
      </w:pPr>
    </w:p>
    <w:p w14:paraId="34E80CAA" w14:textId="68B196C5" w:rsidR="004F56FE" w:rsidRDefault="00F867DC" w:rsidP="004F56FE">
      <w:pPr>
        <w:rPr>
          <w:b/>
          <w:bCs/>
          <w:szCs w:val="24"/>
        </w:rPr>
      </w:pPr>
      <w:r>
        <w:rPr>
          <w:b/>
          <w:bCs/>
          <w:szCs w:val="24"/>
        </w:rPr>
        <w:t>September</w:t>
      </w:r>
      <w:r w:rsidR="007721CC">
        <w:rPr>
          <w:b/>
          <w:bCs/>
          <w:szCs w:val="24"/>
        </w:rPr>
        <w:t xml:space="preserve"> </w:t>
      </w:r>
      <w:r w:rsidR="003B6193">
        <w:rPr>
          <w:b/>
          <w:bCs/>
          <w:szCs w:val="24"/>
        </w:rPr>
        <w:t>2023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754FFD02" w:rsidR="004F56FE" w:rsidRP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549077F6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867DC">
              <w:rPr>
                <w:szCs w:val="24"/>
              </w:rPr>
              <w:t>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631F1E8D" w:rsid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0E3C33B5" w:rsid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92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35B015C3" w:rsid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1AF1ED2D" w:rsid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1686FFA2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6D361812" w:rsid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410A">
              <w:rPr>
                <w:szCs w:val="24"/>
              </w:rPr>
              <w:t>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56C809E8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367C2EC8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43B1B777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62DE323B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30F7FA7F" w14:textId="77777777" w:rsidR="004F56FE" w:rsidRDefault="004F56FE" w:rsidP="004F56FE">
      <w:pPr>
        <w:rPr>
          <w:szCs w:val="24"/>
        </w:rPr>
      </w:pPr>
    </w:p>
    <w:p w14:paraId="39E8D83B" w14:textId="692040E6" w:rsidR="004F56FE" w:rsidRDefault="004F56FE" w:rsidP="004F56FE">
      <w:pPr>
        <w:rPr>
          <w:b/>
          <w:bCs/>
          <w:szCs w:val="24"/>
        </w:rPr>
      </w:pPr>
      <w:r w:rsidRPr="004F56FE">
        <w:rPr>
          <w:b/>
          <w:bCs/>
          <w:szCs w:val="24"/>
        </w:rPr>
        <w:t>Comments Received</w:t>
      </w:r>
    </w:p>
    <w:p w14:paraId="59D9AC62" w14:textId="141D007F" w:rsidR="001F2117" w:rsidRDefault="001F211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</w:t>
      </w:r>
      <w:r w:rsidR="003D410A"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e</w:t>
      </w: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nded</w:t>
      </w:r>
    </w:p>
    <w:p w14:paraId="5271C9ED" w14:textId="6FA1DAEE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Dressing renewed and a very caring Nurse who listened to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me.</w:t>
      </w:r>
    </w:p>
    <w:p w14:paraId="725C72AB" w14:textId="7AD7A863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Always very friendly and efficient in all they do explaining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treatment as it continues.</w:t>
      </w:r>
    </w:p>
    <w:p w14:paraId="4C3C485A" w14:textId="4E1B58AF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Everyone is so nice. The surgery is always very helpful in all aspects from trying to book appointments and trying to sort out who you need to see.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So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thank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you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.</w:t>
      </w:r>
    </w:p>
    <w:p w14:paraId="3FB074DE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 and professional!</w:t>
      </w:r>
    </w:p>
    <w:p w14:paraId="288EAF8C" w14:textId="6E858AB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was only kept waiting 5 mins after my appointment which is perfectly fine and understandable. And the nurse was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really friendly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put me at ease with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her manner. She was lovely!</w:t>
      </w:r>
    </w:p>
    <w:p w14:paraId="04F1521F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 and professional staff. Kind and caring service</w:t>
      </w:r>
    </w:p>
    <w:p w14:paraId="38E834F2" w14:textId="13E508F4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Seen promptly by very pleasant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staff.</w:t>
      </w:r>
    </w:p>
    <w:p w14:paraId="3F43FEE8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On time, efficient, friendly, informative.</w:t>
      </w:r>
    </w:p>
    <w:p w14:paraId="2E96DFB3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On time, and lovely nurse that puts you at ease.</w:t>
      </w:r>
    </w:p>
    <w:p w14:paraId="6D10B290" w14:textId="7B6DF9AF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surgery staff are very helpful, the nurse who I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saw, Joy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, was kind, reassuring and professional.</w:t>
      </w:r>
    </w:p>
    <w:p w14:paraId="349F24AA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efficient and good communication.</w:t>
      </w:r>
    </w:p>
    <w:p w14:paraId="584E6C64" w14:textId="5D5B18EF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Had to wait for 3 weeks to get an appointment in quite a lot of discomfort but doctor very good when I eventually got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there.</w:t>
      </w:r>
    </w:p>
    <w:p w14:paraId="53A121FA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Great nurses.</w:t>
      </w:r>
    </w:p>
    <w:p w14:paraId="67A15201" w14:textId="2AF49DEE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Always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pleasant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staff and prompt service</w:t>
      </w:r>
    </w:p>
    <w:p w14:paraId="32D3D691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Fabulous nurses</w:t>
      </w:r>
    </w:p>
    <w:p w14:paraId="03DB493A" w14:textId="0AD049AC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Because I have only just become a patient and it's a different class Everyone is so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helpful,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I don't feel a burden to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them.</w:t>
      </w:r>
    </w:p>
    <w:p w14:paraId="0E94F3AA" w14:textId="282453CF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Everyone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very helpful</w:t>
      </w:r>
    </w:p>
    <w:p w14:paraId="03548014" w14:textId="193C2F2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Friendly and wanted to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help.</w:t>
      </w:r>
    </w:p>
    <w:p w14:paraId="5BC21F09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Arrived early for a blood sample and was seen immediately and efficiently. Perfect service.</w:t>
      </w:r>
    </w:p>
    <w:p w14:paraId="412D76B6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lastRenderedPageBreak/>
        <w:t>Very polite and quick</w:t>
      </w:r>
    </w:p>
    <w:p w14:paraId="082FF7D1" w14:textId="328F7C91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1 is very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good.</w:t>
      </w:r>
    </w:p>
    <w:p w14:paraId="3342BC48" w14:textId="5A3DF344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nurse (Vicky) was excellent. Kind, considerate and professional. I was dreading the procedure and have avoided it for decades. Vicky put me at my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ease.</w:t>
      </w:r>
    </w:p>
    <w:p w14:paraId="223DE834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and allayed all my concerns. Thank you very much.</w:t>
      </w:r>
    </w:p>
    <w:p w14:paraId="3C01E8C2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surgery doesn't have long wait times for an appointment, and once you get there it's very efficient. Both the doctors and nurses are highly experienced.</w:t>
      </w:r>
    </w:p>
    <w:p w14:paraId="304B3A76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It's the best GP practice I've ever been to.</w:t>
      </w:r>
    </w:p>
    <w:p w14:paraId="510E8E7E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It is good to give positive feedback!</w:t>
      </w:r>
    </w:p>
    <w:p w14:paraId="367D5882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attentive nurse who was very thorough with her actions.</w:t>
      </w:r>
    </w:p>
    <w:p w14:paraId="01B939D0" w14:textId="15AA5D62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Because I got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a  text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asking me to rate my experience from 1 to 6 1 being very good ?</w:t>
      </w:r>
    </w:p>
    <w:p w14:paraId="39EB9816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Excellent nurse</w:t>
      </w:r>
    </w:p>
    <w:p w14:paraId="1E364E53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 and pleasant</w:t>
      </w:r>
    </w:p>
    <w:p w14:paraId="246797D4" w14:textId="14DFEB5B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 nurse was kind, explained the process and potential side effects. I am always very pleased with the care both myself and my child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receive.</w:t>
      </w:r>
    </w:p>
    <w:p w14:paraId="3538530B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1 - Very good.</w:t>
      </w:r>
    </w:p>
    <w:p w14:paraId="4CD69B39" w14:textId="77777777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Helpful staff and Dr</w:t>
      </w:r>
    </w:p>
    <w:p w14:paraId="600DA575" w14:textId="34C98713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Just the best doctor's practice I have ever had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.... the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start, the efficiency, the range of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services.</w:t>
      </w:r>
    </w:p>
    <w:p w14:paraId="06916BD9" w14:textId="65E3B681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nurse was fantastic yesterday and today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.</w:t>
      </w:r>
    </w:p>
    <w:p w14:paraId="0B103738" w14:textId="3093624B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It was nice to be treated with a bit of respect. I have had a very rocky past 3 months including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losing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my wife of nearly 53 years. It does not take much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at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moment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to take me down. I was treated marvellously today. Thank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you.</w:t>
      </w:r>
    </w:p>
    <w:p w14:paraId="08230EA1" w14:textId="129520FC" w:rsidR="00F867DC" w:rsidRDefault="00F867DC" w:rsidP="00F867D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They are very pleasant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caring.</w:t>
      </w:r>
    </w:p>
    <w:p w14:paraId="1A58A0BB" w14:textId="7E1F1B11" w:rsidR="00F537DE" w:rsidRDefault="00F537DE" w:rsidP="00F867DC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sectPr w:rsidR="00F537DE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62DE"/>
    <w:rsid w:val="005868AD"/>
    <w:rsid w:val="0059054E"/>
    <w:rsid w:val="005A163E"/>
    <w:rsid w:val="005B110B"/>
    <w:rsid w:val="005B5C4B"/>
    <w:rsid w:val="005D3242"/>
    <w:rsid w:val="006075AE"/>
    <w:rsid w:val="00610175"/>
    <w:rsid w:val="006102F7"/>
    <w:rsid w:val="00612444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2</cp:revision>
  <cp:lastPrinted>2016-04-29T15:30:00Z</cp:lastPrinted>
  <dcterms:created xsi:type="dcterms:W3CDTF">2023-10-03T07:56:00Z</dcterms:created>
  <dcterms:modified xsi:type="dcterms:W3CDTF">2023-10-03T07:56:00Z</dcterms:modified>
</cp:coreProperties>
</file>